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00" w:rsidRDefault="002B10CD" w:rsidP="00622553">
      <w:pPr>
        <w:rPr>
          <w:color w:val="009BFF"/>
          <w:sz w:val="96"/>
          <w:szCs w:val="96"/>
        </w:rPr>
      </w:pPr>
      <w:r>
        <w:rPr>
          <w:color w:val="009BFF"/>
          <w:sz w:val="96"/>
          <w:szCs w:val="96"/>
        </w:rPr>
        <w:t>L</w:t>
      </w:r>
      <w:r w:rsidR="00762A20">
        <w:rPr>
          <w:color w:val="009BFF"/>
          <w:sz w:val="96"/>
          <w:szCs w:val="96"/>
        </w:rPr>
        <w:t>andlord guide</w:t>
      </w:r>
    </w:p>
    <w:p w:rsidR="00622553" w:rsidRDefault="00622553" w:rsidP="00622553">
      <w:r>
        <w:t>The lettings industry has enjoyed a revival in recent years. Legislative changes with the introduction and subse</w:t>
      </w:r>
      <w:bookmarkStart w:id="0" w:name="_GoBack"/>
      <w:bookmarkEnd w:id="0"/>
      <w:r>
        <w:t>quent amendments to the Housing Act have reduced the risk to landlords and regular rental income, combined with long term capital appreciation makes rental property a very attractive investment.</w:t>
      </w:r>
    </w:p>
    <w:p w:rsidR="00622553" w:rsidRDefault="00622553" w:rsidP="00622553">
      <w:r>
        <w:t>We recognise that our landlords demand a high level of practical knowledge and expertise from their selected agent. Our service is tailored to meet the individual need of the landlord as we also recognise that everyone is different.</w:t>
      </w:r>
    </w:p>
    <w:p w:rsidR="00622553" w:rsidRDefault="00622553" w:rsidP="00622553">
      <w:r>
        <w:t xml:space="preserve">Wiloth Property and Estate Management will offer you honest and professional advice on all aspects of letting whether you are the seasoned professional landlord or the first time landlord. Even if you are just considering becoming a landlord, call in and speak to our experienced team. We couldn’t possibly tell you everything you needed to know about Buy-to-Let in this guide so feel free to contact us for free, no obligation advice. </w:t>
      </w:r>
    </w:p>
    <w:p w:rsidR="00622553" w:rsidRDefault="00622553" w:rsidP="00622553">
      <w:r>
        <w:t>Within this document is some general advice on letting. However, in practice, by far the most single important piece of advice we can offer a landlord concerns the calibre of a tenant. A high calibre tenant will pay rent as and when it falls due, look after your property and leave quietly at the end of the tenancy. Everything else is secondary to this, even the amount of rent you receive. It is better to receive a little less from a good calibre tenant rather than be promised “pie in the sky” from an unreliable one.</w:t>
      </w:r>
    </w:p>
    <w:p w:rsidR="00622553" w:rsidRDefault="00622553" w:rsidP="00622553">
      <w:r>
        <w:t xml:space="preserve">Our advice here and our thorough vetting procedure are geared to ensuring your property is let to the highest possible calibre tenant in the shortest possible time. </w:t>
      </w:r>
    </w:p>
    <w:p w:rsidR="00622553" w:rsidRDefault="00622553" w:rsidP="00622553">
      <w:r>
        <w:t>The advice is quite detailed, however, it should be remembered that many of the points will not apply in every individual case, and that letting property in the vast majority of cases is completely trouble free and extremely straightforward.</w:t>
      </w:r>
    </w:p>
    <w:p w:rsidR="00CD7000" w:rsidRDefault="00553193" w:rsidP="00622553">
      <w:pPr>
        <w:rPr>
          <w:b/>
          <w:color w:val="009EFF"/>
          <w:sz w:val="44"/>
          <w:szCs w:val="44"/>
        </w:rPr>
      </w:pPr>
      <w:r w:rsidRPr="00553193">
        <w:rPr>
          <w:b/>
          <w:color w:val="009EFF"/>
          <w:sz w:val="44"/>
          <w:szCs w:val="44"/>
        </w:rPr>
        <w:t>Why use us?</w:t>
      </w:r>
      <w:r>
        <w:rPr>
          <w:b/>
          <w:color w:val="009EFF"/>
          <w:sz w:val="44"/>
          <w:szCs w:val="44"/>
        </w:rPr>
        <w:t xml:space="preserve"> (About </w:t>
      </w:r>
      <w:proofErr w:type="gramStart"/>
      <w:r>
        <w:rPr>
          <w:b/>
          <w:color w:val="009EFF"/>
          <w:sz w:val="44"/>
          <w:szCs w:val="44"/>
        </w:rPr>
        <w:t>us</w:t>
      </w:r>
      <w:proofErr w:type="gramEnd"/>
      <w:r>
        <w:rPr>
          <w:b/>
          <w:color w:val="009EFF"/>
          <w:sz w:val="44"/>
          <w:szCs w:val="44"/>
        </w:rPr>
        <w:t xml:space="preserve"> page)</w:t>
      </w:r>
    </w:p>
    <w:p w:rsidR="002B10CD" w:rsidRPr="002B10CD" w:rsidRDefault="002B10CD" w:rsidP="00622553">
      <w:pPr>
        <w:rPr>
          <w:b/>
          <w:color w:val="009EFF"/>
          <w:sz w:val="44"/>
          <w:szCs w:val="44"/>
        </w:rPr>
      </w:pPr>
      <w:r w:rsidRPr="002B10CD">
        <w:rPr>
          <w:b/>
          <w:color w:val="009EFF"/>
          <w:sz w:val="44"/>
          <w:szCs w:val="44"/>
        </w:rPr>
        <w:t>Featured properties (</w:t>
      </w:r>
      <w:r w:rsidRPr="002B10CD">
        <w:rPr>
          <w:b/>
          <w:color w:val="009EFF"/>
          <w:sz w:val="44"/>
          <w:szCs w:val="44"/>
        </w:rPr>
        <w:t xml:space="preserve">Featured </w:t>
      </w:r>
      <w:r>
        <w:rPr>
          <w:b/>
          <w:color w:val="009EFF"/>
          <w:sz w:val="44"/>
          <w:szCs w:val="44"/>
        </w:rPr>
        <w:t>properties</w:t>
      </w:r>
      <w:r w:rsidRPr="002B10CD">
        <w:rPr>
          <w:b/>
          <w:color w:val="009EFF"/>
          <w:sz w:val="44"/>
          <w:szCs w:val="44"/>
        </w:rPr>
        <w:t>)</w:t>
      </w:r>
    </w:p>
    <w:p w:rsidR="00CD7000" w:rsidRPr="00CD7000" w:rsidRDefault="00CD7000" w:rsidP="00622553">
      <w:pPr>
        <w:rPr>
          <w:b/>
          <w:color w:val="009EFF"/>
          <w:sz w:val="44"/>
          <w:szCs w:val="44"/>
        </w:rPr>
      </w:pPr>
      <w:r w:rsidRPr="00CD7000">
        <w:rPr>
          <w:b/>
          <w:color w:val="009EFF"/>
          <w:sz w:val="44"/>
          <w:szCs w:val="44"/>
        </w:rPr>
        <w:t>Management and Service Packages</w:t>
      </w:r>
    </w:p>
    <w:p w:rsidR="00CD7000" w:rsidRPr="00DA2722" w:rsidRDefault="00CD7000" w:rsidP="00CD7000">
      <w:pPr>
        <w:spacing w:after="0"/>
      </w:pPr>
      <w:r w:rsidRPr="00DA2722">
        <w:t>Our range of property management and service packages can be tailored as required:</w:t>
      </w:r>
    </w:p>
    <w:tbl>
      <w:tblPr>
        <w:tblpPr w:leftFromText="180" w:rightFromText="180" w:vertAnchor="text" w:horzAnchor="margin" w:tblpXSpec="center" w:tblpY="106"/>
        <w:tblW w:w="10975" w:type="dxa"/>
        <w:tblCellSpacing w:w="0" w:type="dxa"/>
        <w:tblCellMar>
          <w:left w:w="0" w:type="dxa"/>
          <w:right w:w="0" w:type="dxa"/>
        </w:tblCellMar>
        <w:tblLook w:val="04A0" w:firstRow="1" w:lastRow="0" w:firstColumn="1" w:lastColumn="0" w:noHBand="0" w:noVBand="1"/>
        <w:tblDescription w:val="Table of property Management &amp; Service Packages"/>
      </w:tblPr>
      <w:tblGrid>
        <w:gridCol w:w="5730"/>
        <w:gridCol w:w="1418"/>
        <w:gridCol w:w="1843"/>
        <w:gridCol w:w="1984"/>
      </w:tblGrid>
      <w:tr w:rsidR="0061543F" w:rsidRPr="0061543F" w:rsidTr="00B96296">
        <w:trPr>
          <w:trHeight w:val="57"/>
          <w:tblHeader/>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762A20" w:rsidP="00B96296">
            <w:pPr>
              <w:spacing w:after="0"/>
              <w:rPr>
                <w:b/>
                <w:color w:val="009EFF"/>
              </w:rPr>
            </w:pPr>
            <w:r>
              <w:rPr>
                <w:b/>
                <w:color w:val="009EFF"/>
              </w:rPr>
              <w:t>Service Features</w:t>
            </w:r>
          </w:p>
        </w:tc>
        <w:tc>
          <w:tcPr>
            <w:tcW w:w="1418"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bCs/>
                <w:color w:val="009EFF"/>
              </w:rPr>
            </w:pPr>
            <w:r w:rsidRPr="0061543F">
              <w:rPr>
                <w:b/>
                <w:bCs/>
                <w:color w:val="009EFF"/>
              </w:rPr>
              <w:t>Introduction Only Service</w:t>
            </w: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bCs/>
                <w:color w:val="009EFF"/>
              </w:rPr>
            </w:pPr>
            <w:r w:rsidRPr="0061543F">
              <w:rPr>
                <w:b/>
                <w:bCs/>
                <w:color w:val="009EFF"/>
              </w:rPr>
              <w:t>Letting and Rental Collection Service</w:t>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bCs/>
                <w:color w:val="009EFF"/>
              </w:rPr>
            </w:pPr>
            <w:r w:rsidRPr="0061543F">
              <w:rPr>
                <w:b/>
                <w:bCs/>
                <w:color w:val="009EFF"/>
              </w:rPr>
              <w:t>Letting and Full Management Service</w:t>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lastRenderedPageBreak/>
              <w:t>Market appraisal</w:t>
            </w:r>
          </w:p>
        </w:tc>
        <w:tc>
          <w:tcPr>
            <w:tcW w:w="1418"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CD0AEC4" wp14:editId="2CCD6EE5">
                  <wp:extent cx="152400" cy="114300"/>
                  <wp:effectExtent l="0" t="0" r="0" b="0"/>
                  <wp:docPr id="1" name="Picture 1"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60240AED" wp14:editId="61C407BA">
                  <wp:extent cx="152400" cy="114300"/>
                  <wp:effectExtent l="0" t="0" r="0" b="0"/>
                  <wp:docPr id="2" name="Picture 2"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8695E69" wp14:editId="3D57B4F1">
                  <wp:extent cx="152400" cy="114300"/>
                  <wp:effectExtent l="0" t="0" r="0" b="0"/>
                  <wp:docPr id="3" name="Picture 3"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Marketing, advertising and conducting viewings at the property</w:t>
            </w:r>
          </w:p>
        </w:tc>
        <w:tc>
          <w:tcPr>
            <w:tcW w:w="1418"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6FB691F" wp14:editId="45FC7EB6">
                  <wp:extent cx="152400" cy="114300"/>
                  <wp:effectExtent l="0" t="0" r="0" b="0"/>
                  <wp:docPr id="4" name="Picture 4"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0295EBA8" wp14:editId="4C7E2FD9">
                  <wp:extent cx="152400" cy="114300"/>
                  <wp:effectExtent l="0" t="0" r="0" b="0"/>
                  <wp:docPr id="5" name="Picture 5"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FFE6AEF" wp14:editId="7E5907CC">
                  <wp:extent cx="152400" cy="114300"/>
                  <wp:effectExtent l="0" t="0" r="0" b="0"/>
                  <wp:docPr id="6" name="Picture 6"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Tenant selection, introduction and referencing</w:t>
            </w:r>
          </w:p>
        </w:tc>
        <w:tc>
          <w:tcPr>
            <w:tcW w:w="1418"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2484E798" wp14:editId="19B57D00">
                  <wp:extent cx="152400" cy="114300"/>
                  <wp:effectExtent l="0" t="0" r="0" b="0"/>
                  <wp:docPr id="7" name="Picture 7"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6289271D" wp14:editId="42AE73A1">
                  <wp:extent cx="152400" cy="114300"/>
                  <wp:effectExtent l="0" t="0" r="0" b="0"/>
                  <wp:docPr id="8" name="Picture 8"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996B723" wp14:editId="65FC96C6">
                  <wp:extent cx="152400" cy="114300"/>
                  <wp:effectExtent l="0" t="0" r="0" b="0"/>
                  <wp:docPr id="9" name="Picture 9"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Preparation of the tenancy agreement*</w:t>
            </w:r>
          </w:p>
        </w:tc>
        <w:tc>
          <w:tcPr>
            <w:tcW w:w="1418"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6A8D77F" wp14:editId="265FF988">
                  <wp:extent cx="152400" cy="114300"/>
                  <wp:effectExtent l="0" t="0" r="0" b="0"/>
                  <wp:docPr id="10" name="Picture 10"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Selec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4AF49A71" wp14:editId="24D5B832">
                  <wp:extent cx="152400" cy="114300"/>
                  <wp:effectExtent l="0" t="0" r="0" b="0"/>
                  <wp:docPr id="11" name="Picture 11"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6081328" wp14:editId="6ED3B9D3">
                  <wp:extent cx="152400" cy="114300"/>
                  <wp:effectExtent l="0" t="0" r="0" b="0"/>
                  <wp:docPr id="12" name="Picture 12"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Preparation of the inventory and schedule of condition*</w:t>
            </w:r>
          </w:p>
        </w:tc>
        <w:tc>
          <w:tcPr>
            <w:tcW w:w="1418"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72E630DF" wp14:editId="03EDD54C">
                  <wp:extent cx="152400" cy="114300"/>
                  <wp:effectExtent l="0" t="0" r="0" b="0"/>
                  <wp:docPr id="13" name="Picture 13"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61C88DE" wp14:editId="1FBB98B3">
                  <wp:extent cx="152400" cy="114300"/>
                  <wp:effectExtent l="0" t="0" r="0" b="0"/>
                  <wp:docPr id="14" name="Picture 14"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7ADDBBA7" wp14:editId="2774F174">
                  <wp:extent cx="152400" cy="114300"/>
                  <wp:effectExtent l="0" t="0" r="0" b="0"/>
                  <wp:docPr id="15" name="Picture 15"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Let’s-Cover Buildings and Contents Insurance*</w:t>
            </w:r>
          </w:p>
        </w:tc>
        <w:tc>
          <w:tcPr>
            <w:tcW w:w="1418"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2116F1FD" wp14:editId="084E2F1C">
                  <wp:extent cx="152400" cy="114300"/>
                  <wp:effectExtent l="0" t="0" r="0" b="0"/>
                  <wp:docPr id="16" name="Picture 16"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A72017D" wp14:editId="42AFFAB7">
                  <wp:extent cx="152400" cy="114300"/>
                  <wp:effectExtent l="0" t="0" r="0" b="0"/>
                  <wp:docPr id="17" name="Picture 17"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7432244E" wp14:editId="42A7BEC5">
                  <wp:extent cx="152400" cy="114300"/>
                  <wp:effectExtent l="0" t="0" r="0" b="0"/>
                  <wp:docPr id="18" name="Picture 18"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Tax Advice and Rental Income Reports*</w:t>
            </w:r>
          </w:p>
        </w:tc>
        <w:tc>
          <w:tcPr>
            <w:tcW w:w="1418"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D2613A5" wp14:editId="58CC5FF4">
                  <wp:extent cx="152400" cy="114300"/>
                  <wp:effectExtent l="0" t="0" r="0" b="0"/>
                  <wp:docPr id="19" name="Picture 19"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38A0AA1" wp14:editId="51C6870C">
                  <wp:extent cx="152400" cy="114300"/>
                  <wp:effectExtent l="0" t="0" r="0" b="0"/>
                  <wp:docPr id="20" name="Picture 20"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4837B8EA" wp14:editId="1CBDD5E2">
                  <wp:extent cx="152400" cy="114300"/>
                  <wp:effectExtent l="0" t="0" r="0" b="0"/>
                  <wp:docPr id="21" name="Picture 21"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Managing the commencement of your let and any subsequent extensions</w:t>
            </w:r>
          </w:p>
        </w:tc>
        <w:tc>
          <w:tcPr>
            <w:tcW w:w="1418"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6DFF06AB" wp14:editId="6BAFB2AC">
                  <wp:extent cx="152400" cy="114300"/>
                  <wp:effectExtent l="0" t="0" r="0" b="0"/>
                  <wp:docPr id="22" name="Picture 22"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4E6667B2" wp14:editId="49A4F134">
                  <wp:extent cx="152400" cy="114300"/>
                  <wp:effectExtent l="0" t="0" r="0" b="0"/>
                  <wp:docPr id="23" name="Picture 23"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7C6340D" wp14:editId="69C7C098">
                  <wp:extent cx="152400" cy="114300"/>
                  <wp:effectExtent l="0" t="0" r="0" b="0"/>
                  <wp:docPr id="24" name="Picture 24"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Tenancy Extensions*</w:t>
            </w:r>
          </w:p>
        </w:tc>
        <w:tc>
          <w:tcPr>
            <w:tcW w:w="1418"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DF3C73C" wp14:editId="2C2F10A8">
                  <wp:extent cx="152400" cy="114300"/>
                  <wp:effectExtent l="0" t="0" r="0" b="0"/>
                  <wp:docPr id="25" name="Picture 25"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249EB7ED" wp14:editId="7802D018">
                  <wp:extent cx="152400" cy="114300"/>
                  <wp:effectExtent l="0" t="0" r="0" b="0"/>
                  <wp:docPr id="26" name="Picture 26"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EF6101F" wp14:editId="60D54236">
                  <wp:extent cx="152400" cy="114300"/>
                  <wp:effectExtent l="0" t="0" r="0" b="0"/>
                  <wp:docPr id="27" name="Picture 27"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Tenancy Deposit Scheme administration*</w:t>
            </w:r>
          </w:p>
        </w:tc>
        <w:tc>
          <w:tcPr>
            <w:tcW w:w="1418"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2CA1780" wp14:editId="6DF43901">
                  <wp:extent cx="152400" cy="114300"/>
                  <wp:effectExtent l="0" t="0" r="0" b="0"/>
                  <wp:docPr id="28" name="Picture 28"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4D3BBB59" wp14:editId="078F1309">
                  <wp:extent cx="152400" cy="114300"/>
                  <wp:effectExtent l="0" t="0" r="0" b="0"/>
                  <wp:docPr id="29" name="Picture 29"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6DA019C" wp14:editId="447C8022">
                  <wp:extent cx="152400" cy="114300"/>
                  <wp:effectExtent l="0" t="0" r="0" b="0"/>
                  <wp:docPr id="30" name="Picture 30"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Gas, Electricity, and Energy Performance Certifications*</w:t>
            </w:r>
          </w:p>
        </w:tc>
        <w:tc>
          <w:tcPr>
            <w:tcW w:w="1418"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4297B0E" wp14:editId="366297D0">
                  <wp:extent cx="152400" cy="114300"/>
                  <wp:effectExtent l="0" t="0" r="0" b="0"/>
                  <wp:docPr id="31" name="Picture 31"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7F66C43A" wp14:editId="2482D1B8">
                  <wp:extent cx="152400" cy="114300"/>
                  <wp:effectExtent l="0" t="0" r="0" b="0"/>
                  <wp:docPr id="32" name="Picture 32"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49B44201" wp14:editId="2355091D">
                  <wp:extent cx="152400" cy="114300"/>
                  <wp:effectExtent l="0" t="0" r="0" b="0"/>
                  <wp:docPr id="33" name="Picture 33"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Transfer of rents</w:t>
            </w:r>
          </w:p>
        </w:tc>
        <w:tc>
          <w:tcPr>
            <w:tcW w:w="1418" w:type="dxa"/>
            <w:shd w:val="clear" w:color="auto" w:fill="DAEEF3"/>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448F1610" wp14:editId="404E2B5F">
                  <wp:extent cx="152400" cy="114300"/>
                  <wp:effectExtent l="0" t="0" r="0" b="0"/>
                  <wp:docPr id="34" name="Picture 34"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11E2A0E6" wp14:editId="3E4352AC">
                  <wp:extent cx="152400" cy="114300"/>
                  <wp:effectExtent l="0" t="0" r="0" b="0"/>
                  <wp:docPr id="35" name="Picture 35"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Legal Advice (Landlord and Tenant)*</w:t>
            </w:r>
          </w:p>
        </w:tc>
        <w:tc>
          <w:tcPr>
            <w:tcW w:w="1418"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2F553F90" wp14:editId="7474539F">
                  <wp:extent cx="152400" cy="114300"/>
                  <wp:effectExtent l="0" t="0" r="0" b="0"/>
                  <wp:docPr id="36" name="Picture 36"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2DB8F293" wp14:editId="2B3EB5F7">
                  <wp:extent cx="152400" cy="114300"/>
                  <wp:effectExtent l="0" t="0" r="0" b="0"/>
                  <wp:docPr id="37" name="Picture 37"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Rental Protection and Legal Expenses Indemnity Insurance*</w:t>
            </w:r>
          </w:p>
        </w:tc>
        <w:tc>
          <w:tcPr>
            <w:tcW w:w="1418" w:type="dxa"/>
            <w:shd w:val="clear" w:color="auto" w:fill="DAEEF3"/>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E4820EF" wp14:editId="1024617B">
                  <wp:extent cx="152400" cy="114300"/>
                  <wp:effectExtent l="0" t="0" r="0" b="0"/>
                  <wp:docPr id="38" name="Picture 38"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EBC7603" wp14:editId="7F08321E">
                  <wp:extent cx="152400" cy="114300"/>
                  <wp:effectExtent l="0" t="0" r="0" b="0"/>
                  <wp:docPr id="39" name="Picture 39"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Arranging routine repairs and maintenance</w:t>
            </w:r>
          </w:p>
        </w:tc>
        <w:tc>
          <w:tcPr>
            <w:tcW w:w="1418"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648266FF" wp14:editId="79B62E82">
                  <wp:extent cx="152400" cy="114300"/>
                  <wp:effectExtent l="0" t="0" r="0" b="0"/>
                  <wp:docPr id="40" name="Picture 40"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Project management of repairs and refurbishments*</w:t>
            </w:r>
          </w:p>
        </w:tc>
        <w:tc>
          <w:tcPr>
            <w:tcW w:w="1418" w:type="dxa"/>
            <w:shd w:val="clear" w:color="auto" w:fill="DAEEF3"/>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7819C336" wp14:editId="0F62E109">
                  <wp:extent cx="152400" cy="114300"/>
                  <wp:effectExtent l="0" t="0" r="0" b="0"/>
                  <wp:docPr id="41" name="Picture 41"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Regular Routine property visits*</w:t>
            </w:r>
          </w:p>
        </w:tc>
        <w:tc>
          <w:tcPr>
            <w:tcW w:w="1418"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39638B22" wp14:editId="3ADD5924">
                  <wp:extent cx="152400" cy="114300"/>
                  <wp:effectExtent l="0" t="0" r="0" b="0"/>
                  <wp:docPr id="42" name="Picture 42"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Payment of property related outgoings</w:t>
            </w:r>
          </w:p>
        </w:tc>
        <w:tc>
          <w:tcPr>
            <w:tcW w:w="1418" w:type="dxa"/>
            <w:shd w:val="clear" w:color="auto" w:fill="DAEEF3"/>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CE0B431" wp14:editId="336D94E4">
                  <wp:extent cx="152400" cy="114300"/>
                  <wp:effectExtent l="0" t="0" r="0" b="0"/>
                  <wp:docPr id="43" name="Picture 43"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Notifying utilities at the beginning and end of the tenancy</w:t>
            </w:r>
          </w:p>
        </w:tc>
        <w:tc>
          <w:tcPr>
            <w:tcW w:w="1418"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p>
        </w:tc>
        <w:tc>
          <w:tcPr>
            <w:tcW w:w="1984"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5A8063B7" wp14:editId="0A7E4EB5">
                  <wp:extent cx="152400" cy="114300"/>
                  <wp:effectExtent l="0" t="0" r="0" b="0"/>
                  <wp:docPr id="44" name="Picture 44"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Expert property advice</w:t>
            </w:r>
          </w:p>
        </w:tc>
        <w:tc>
          <w:tcPr>
            <w:tcW w:w="1418" w:type="dxa"/>
            <w:shd w:val="clear" w:color="auto" w:fill="DAEEF3"/>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p>
        </w:tc>
        <w:tc>
          <w:tcPr>
            <w:tcW w:w="1984" w:type="dxa"/>
            <w:shd w:val="clear" w:color="auto" w:fill="DAEEF3"/>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noProof/>
                <w:color w:val="009EFF"/>
                <w:lang w:eastAsia="en-GB"/>
              </w:rPr>
              <w:drawing>
                <wp:inline distT="0" distB="0" distL="0" distR="0" wp14:anchorId="0261C918" wp14:editId="7C6C44C1">
                  <wp:extent cx="152400" cy="114300"/>
                  <wp:effectExtent l="0" t="0" r="0" b="0"/>
                  <wp:docPr id="45" name="Picture 45" descr="Descri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Selec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1543F" w:rsidRPr="0061543F" w:rsidTr="00B96296">
        <w:trPr>
          <w:trHeight w:val="57"/>
          <w:tblCellSpacing w:w="0" w:type="dxa"/>
        </w:trPr>
        <w:tc>
          <w:tcPr>
            <w:tcW w:w="5730" w:type="dxa"/>
            <w:shd w:val="clear" w:color="auto" w:fill="FFFFFF"/>
            <w:tcMar>
              <w:top w:w="60" w:type="dxa"/>
              <w:left w:w="60" w:type="dxa"/>
              <w:bottom w:w="60" w:type="dxa"/>
              <w:right w:w="60" w:type="dxa"/>
            </w:tcMar>
            <w:vAlign w:val="center"/>
            <w:hideMark/>
          </w:tcPr>
          <w:p w:rsidR="00CD7000" w:rsidRPr="0061543F" w:rsidRDefault="00CD7000" w:rsidP="00B96296">
            <w:pPr>
              <w:spacing w:after="0"/>
              <w:rPr>
                <w:b/>
                <w:color w:val="009EFF"/>
              </w:rPr>
            </w:pPr>
            <w:r w:rsidRPr="0061543F">
              <w:rPr>
                <w:b/>
                <w:color w:val="009EFF"/>
              </w:rPr>
              <w:t>* Additional charges may be applicable</w:t>
            </w:r>
          </w:p>
        </w:tc>
        <w:tc>
          <w:tcPr>
            <w:tcW w:w="1418"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c>
          <w:tcPr>
            <w:tcW w:w="1843"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c>
          <w:tcPr>
            <w:tcW w:w="1984" w:type="dxa"/>
            <w:shd w:val="clear" w:color="auto" w:fill="FFFFFF"/>
            <w:tcMar>
              <w:top w:w="60" w:type="dxa"/>
              <w:left w:w="60" w:type="dxa"/>
              <w:bottom w:w="60" w:type="dxa"/>
              <w:right w:w="60" w:type="dxa"/>
            </w:tcMar>
            <w:vAlign w:val="center"/>
          </w:tcPr>
          <w:p w:rsidR="00CD7000" w:rsidRPr="0061543F" w:rsidRDefault="00CD7000" w:rsidP="00B96296">
            <w:pPr>
              <w:spacing w:after="0"/>
              <w:rPr>
                <w:b/>
                <w:color w:val="009EFF"/>
              </w:rPr>
            </w:pPr>
          </w:p>
        </w:tc>
      </w:tr>
    </w:tbl>
    <w:p w:rsidR="00CD7000" w:rsidRPr="0061543F" w:rsidRDefault="00CD7000" w:rsidP="00CD7000">
      <w:pPr>
        <w:spacing w:after="0"/>
        <w:rPr>
          <w:b/>
          <w:color w:val="009EFF"/>
        </w:rPr>
      </w:pPr>
    </w:p>
    <w:p w:rsidR="00CD7000" w:rsidRPr="00171BDF" w:rsidRDefault="00CD7000" w:rsidP="00CD7000">
      <w:pPr>
        <w:spacing w:after="0"/>
      </w:pPr>
      <w:r w:rsidRPr="00DA2722">
        <w:t>We can also arrange for </w:t>
      </w:r>
      <w:hyperlink r:id="rId9" w:tooltip="Energy Performance Certificates" w:history="1">
        <w:r w:rsidRPr="00DA2722">
          <w:rPr>
            <w:rStyle w:val="Hyperlink"/>
          </w:rPr>
          <w:t>Energy Performance Certificates</w:t>
        </w:r>
      </w:hyperlink>
      <w:r w:rsidRPr="00DA2722">
        <w:t> to be produced through our engineer. Additionally our financial services division can provide access to a range of specialist </w:t>
      </w:r>
      <w:hyperlink r:id="rId10" w:tooltip="buy to let mortgage" w:history="1">
        <w:r w:rsidRPr="00DA2722">
          <w:rPr>
            <w:rStyle w:val="Hyperlink"/>
          </w:rPr>
          <w:t>buy to let mortgage</w:t>
        </w:r>
      </w:hyperlink>
      <w:r w:rsidRPr="00DA2722">
        <w:t xml:space="preserve"> products.</w:t>
      </w:r>
      <w:r>
        <w:tab/>
      </w:r>
    </w:p>
    <w:p w:rsidR="00CD7000" w:rsidRDefault="00CD7000" w:rsidP="00622553"/>
    <w:p w:rsidR="00CD7000" w:rsidRDefault="00CD7000" w:rsidP="00622553"/>
    <w:p w:rsidR="00622553" w:rsidRPr="007279A2" w:rsidRDefault="00622553" w:rsidP="00622553">
      <w:pPr>
        <w:rPr>
          <w:b/>
          <w:color w:val="009BFF"/>
          <w:sz w:val="44"/>
          <w:szCs w:val="44"/>
        </w:rPr>
      </w:pPr>
      <w:r w:rsidRPr="007279A2">
        <w:rPr>
          <w:b/>
          <w:color w:val="009BFF"/>
          <w:sz w:val="44"/>
          <w:szCs w:val="44"/>
        </w:rPr>
        <w:t>Preparing your property for letting</w:t>
      </w:r>
    </w:p>
    <w:p w:rsidR="00622553" w:rsidRDefault="00622553" w:rsidP="00622553">
      <w:r>
        <w:t>It is imperative that when you present your property for letting, you think carefully about the decoration, the fixtures and the fittings. The condition of the property is more often than not the deciding factor for potential tenants. If you present your property well, you will often achieve a higher level of rent and the property will normally let easily.</w:t>
      </w:r>
    </w:p>
    <w:p w:rsidR="00622553" w:rsidRPr="00F6602F" w:rsidRDefault="00622553" w:rsidP="00622553">
      <w:pPr>
        <w:rPr>
          <w:b/>
          <w:sz w:val="32"/>
          <w:szCs w:val="32"/>
        </w:rPr>
      </w:pPr>
      <w:r w:rsidRPr="00F6602F">
        <w:rPr>
          <w:b/>
          <w:sz w:val="32"/>
          <w:szCs w:val="32"/>
        </w:rPr>
        <w:lastRenderedPageBreak/>
        <w:t>We highlight some of the most important presentation points below:</w:t>
      </w:r>
    </w:p>
    <w:p w:rsidR="00622553" w:rsidRDefault="00622553" w:rsidP="00622553">
      <w:r w:rsidRPr="007279A2">
        <w:rPr>
          <w:b/>
        </w:rPr>
        <w:t>Entrance Hall/Communal entrances -</w:t>
      </w:r>
      <w:r>
        <w:t xml:space="preserve"> Where possible you should try and ensure that the entrance hall to the building (where applicable) and the entrance hall within your property are neutrally painted, clean and free from clutter. First impressions always count.</w:t>
      </w:r>
    </w:p>
    <w:p w:rsidR="00622553" w:rsidRDefault="00622553" w:rsidP="00622553">
      <w:r>
        <w:t>General decoration - Fresh decoration in light colours such as cream or off white always impresses potential tenants.</w:t>
      </w:r>
    </w:p>
    <w:p w:rsidR="00622553" w:rsidRDefault="00622553" w:rsidP="00622553">
      <w:r w:rsidRPr="007279A2">
        <w:rPr>
          <w:b/>
        </w:rPr>
        <w:t>High quality flooring -</w:t>
      </w:r>
      <w:r>
        <w:t xml:space="preserve"> If you opt for carpets, these should be a neutral colour such as beige or biscuit and they should be clean and free from stains and marks of any kind. It is worth investing in a quality carpet that will last rather than a cheap carpet that may need replacing quickly. Wooden floors are always popular with tenants too.</w:t>
      </w:r>
    </w:p>
    <w:p w:rsidR="00622553" w:rsidRDefault="00622553" w:rsidP="00622553">
      <w:r w:rsidRPr="007279A2">
        <w:rPr>
          <w:b/>
        </w:rPr>
        <w:t>Curtains and blinds -</w:t>
      </w:r>
      <w:r>
        <w:t xml:space="preserve"> These should fit the windows properly and again be free from any stains or marks. Make sure that the type of window dressing suits the window for example blinds are better in kitchens and bathrooms than curtains. These should also be of a neutral colour and again, it is worth investing in quality.</w:t>
      </w:r>
    </w:p>
    <w:p w:rsidR="00622553" w:rsidRDefault="00622553" w:rsidP="00622553">
      <w:r w:rsidRPr="007279A2">
        <w:rPr>
          <w:b/>
        </w:rPr>
        <w:t>Kitchen -</w:t>
      </w:r>
      <w:r>
        <w:t xml:space="preserve"> This should be clean and bright with washable flooring for example, tiles. All appliances should remain. You would be advised to provide a washing machine, a fridge/freezer and a cooker (or oven and hob depending on the design of the kitchen) and a dishwasher where space permits. The appliances should all be in full working order. Make sure your cupboard doors and drawers are fitted properly and any little jobs like dripping taps and loose handles are attended to.</w:t>
      </w:r>
    </w:p>
    <w:p w:rsidR="00622553" w:rsidRDefault="00622553" w:rsidP="00622553">
      <w:r w:rsidRPr="007279A2">
        <w:rPr>
          <w:b/>
        </w:rPr>
        <w:t>Bathroom -</w:t>
      </w:r>
      <w:r>
        <w:t xml:space="preserve"> Ideally with a white suite, the bathroom should also be spotlessly clean and bright with washable flooring like tiles or good quality linoleum. Some form of shower is imperative whether you chose a power shower or electric shower. Make sure where possible that grouting and bath sealants are clean.</w:t>
      </w:r>
    </w:p>
    <w:p w:rsidR="00622553" w:rsidRDefault="00622553" w:rsidP="00622553">
      <w:r w:rsidRPr="007279A2">
        <w:rPr>
          <w:b/>
        </w:rPr>
        <w:t>Storage space -</w:t>
      </w:r>
      <w:r>
        <w:t xml:space="preserve"> Some say you can never have too much, so if you have any built in cupboards or loft space at the property make sure that any old clutter has been discarded and be prepared to buy wardrobes for any bedrooms that don’t have any cupboard space already.</w:t>
      </w:r>
    </w:p>
    <w:p w:rsidR="00622553" w:rsidRDefault="00622553" w:rsidP="00622553">
      <w:r w:rsidRPr="007279A2">
        <w:rPr>
          <w:b/>
        </w:rPr>
        <w:t>Heating -</w:t>
      </w:r>
      <w:r>
        <w:t xml:space="preserve"> An efficient central heating system is important. If the property has electric storage heating ensures that all the heaters work. Similarly if you have minimal heating, it would be wise to invest in a heating system.</w:t>
      </w:r>
    </w:p>
    <w:p w:rsidR="00622553" w:rsidRDefault="00622553" w:rsidP="00622553">
      <w:r w:rsidRPr="007279A2">
        <w:rPr>
          <w:b/>
        </w:rPr>
        <w:t>Light fittings -</w:t>
      </w:r>
      <w:r>
        <w:t xml:space="preserve"> Bare light bulbs don’t create the right look so make sure that light fittings throughout are modern and practical. Remember light fittings in bathrooms need to be covered and these can be bought from any standard DIY shop.</w:t>
      </w:r>
    </w:p>
    <w:p w:rsidR="00622553" w:rsidRDefault="00622553" w:rsidP="00622553">
      <w:r w:rsidRPr="007279A2">
        <w:rPr>
          <w:b/>
        </w:rPr>
        <w:t>Exterior -</w:t>
      </w:r>
      <w:r>
        <w:t xml:space="preserve"> Any outside space you may be lucky enough to have should be clean and well presented. Decks, patios and paths should be cleaned and moss free as well as garden space which should be free from weeds. It is a good idea that whilst a garden should look colourful and lush, it should be as easy to maintain as possible.</w:t>
      </w:r>
    </w:p>
    <w:p w:rsidR="00622553" w:rsidRDefault="00622553" w:rsidP="00622553">
      <w:r w:rsidRPr="007279A2">
        <w:rPr>
          <w:b/>
        </w:rPr>
        <w:lastRenderedPageBreak/>
        <w:t>Furnished or Unfurnished -</w:t>
      </w:r>
      <w:r>
        <w:t xml:space="preserve"> There is generally no difference between the rental achieved for a property whether it is furnished or unfurnished. Unfurnished is normally defined as being fully carpeted (or with wooden floors), fully curtained and with white goods provided in the kitchen (cooker, fridge/freezer, washing machine etc.). Furnished is normally defined as being a property ready for someone to move into. The furniture needs to be of a good quality and the property should be uncluttered. It is a good idea to offer your property unfurnished to start off with and when the right tenant comes along, buy furniture to meet the requirements. You don’t want to be in a position where you have spent money on buying a property full of furniture if the demand at that time is for unfurnished. Our advice is to be as flexible as you can.</w:t>
      </w:r>
    </w:p>
    <w:p w:rsidR="00622553" w:rsidRDefault="00622553" w:rsidP="00622553">
      <w:r w:rsidRPr="007279A2">
        <w:rPr>
          <w:b/>
        </w:rPr>
        <w:t>General housekeeping -</w:t>
      </w:r>
      <w:r>
        <w:t xml:space="preserve"> It is a good idea to keep the property as clean as possible during the viewing stages. On vacant properties, don’t allow junk mail to pile up inside the front door and try and keep the property aired, dusted and vacuumed to create that all important first impression.</w:t>
      </w:r>
    </w:p>
    <w:p w:rsidR="00622553" w:rsidRDefault="00622553" w:rsidP="00622553"/>
    <w:p w:rsidR="00622553" w:rsidRPr="007279A2" w:rsidRDefault="002B10CD" w:rsidP="00622553">
      <w:pPr>
        <w:rPr>
          <w:b/>
          <w:color w:val="009EFF"/>
          <w:sz w:val="44"/>
          <w:szCs w:val="44"/>
        </w:rPr>
      </w:pPr>
      <w:r>
        <w:rPr>
          <w:b/>
          <w:color w:val="009EFF"/>
          <w:sz w:val="44"/>
          <w:szCs w:val="44"/>
        </w:rPr>
        <w:t>Repairs and responsibilities</w:t>
      </w:r>
    </w:p>
    <w:p w:rsidR="00553193" w:rsidRDefault="00622553" w:rsidP="00553193">
      <w:r>
        <w:t>The law is complicated and depends partly on your tenancy agreement and partly on statutory and common law.</w:t>
      </w:r>
      <w:r w:rsidR="00553193" w:rsidRPr="00553193">
        <w:t xml:space="preserve"> </w:t>
      </w:r>
      <w:r w:rsidR="00553193">
        <w:t>You are obliged as a landlord to ensure that the property is safe for any prospective tenant prior to their occupation. The regulations detailed below outline your responsibilities as a landlord and should be fully complied with.</w:t>
      </w:r>
    </w:p>
    <w:p w:rsidR="00622553" w:rsidRDefault="00622553" w:rsidP="00622553">
      <w:r>
        <w:t xml:space="preserve"> In most properties the landlord will be responsible for repairs to the structure and exterior of the house, together with installations for supply of water, gas and electricity, sanitation, space and water heating (Landlord &amp; Tenant Act 1985 sections 11-16).</w:t>
      </w:r>
    </w:p>
    <w:p w:rsidR="00622553" w:rsidRDefault="00622553" w:rsidP="00622553">
      <w:r>
        <w:t>Likewise each tenant is responsible to ensure that they use the property in a reasonable manner i.e. ensuring that their guests do not damage the property, carrying out minor maintenance like blocked sinks themselves, keeping the property clean, being responsible for maintaining internal decorations etc.</w:t>
      </w:r>
    </w:p>
    <w:p w:rsidR="00553193" w:rsidRPr="00F6602F" w:rsidRDefault="00553193" w:rsidP="00553193">
      <w:pPr>
        <w:rPr>
          <w:b/>
          <w:sz w:val="32"/>
          <w:szCs w:val="32"/>
        </w:rPr>
      </w:pPr>
      <w:r w:rsidRPr="00F6602F">
        <w:rPr>
          <w:b/>
          <w:sz w:val="32"/>
          <w:szCs w:val="32"/>
        </w:rPr>
        <w:t>Landlord and tenant Act 1985 section 11</w:t>
      </w:r>
    </w:p>
    <w:p w:rsidR="00553193" w:rsidRDefault="00553193" w:rsidP="00553193">
      <w:r>
        <w:t>This part of the act states that landlords are obliged to keep the property in a good state of repair. Under this act landlords are responsible for the repair of the structure and exterior of the property together with the installations for the supply of gas, electricity, water and sanitation.</w:t>
      </w:r>
    </w:p>
    <w:p w:rsidR="00622553" w:rsidRDefault="00622553" w:rsidP="00622553"/>
    <w:p w:rsidR="00622553" w:rsidRPr="007279A2" w:rsidRDefault="00622553" w:rsidP="00622553">
      <w:pPr>
        <w:rPr>
          <w:b/>
          <w:color w:val="009EFF"/>
          <w:sz w:val="44"/>
          <w:szCs w:val="44"/>
        </w:rPr>
      </w:pPr>
      <w:r w:rsidRPr="007279A2">
        <w:rPr>
          <w:b/>
          <w:color w:val="009EFF"/>
          <w:sz w:val="44"/>
          <w:szCs w:val="44"/>
        </w:rPr>
        <w:t>Safety regulations</w:t>
      </w:r>
    </w:p>
    <w:p w:rsidR="00622553" w:rsidRDefault="00622553" w:rsidP="00622553">
      <w:r>
        <w:t>You are obliged as a landlord to ensure that the property is safe for any prospective tenant prior to their occupation. The regulations detailed below outline your responsibilities as a landlord and should be fully complied with.</w:t>
      </w:r>
    </w:p>
    <w:p w:rsidR="00622553" w:rsidRDefault="00622553" w:rsidP="00622553">
      <w:r>
        <w:t>The furniture and furnishings (fire) (safety) regulations 1988 (as amended)</w:t>
      </w:r>
    </w:p>
    <w:p w:rsidR="00622553" w:rsidRDefault="00622553" w:rsidP="00622553">
      <w:r>
        <w:lastRenderedPageBreak/>
        <w:t>This covers soft furnishings such as mattresses, padded headboards, bed bases, sofas, armchairs, chairs, cushions etc. It is an offence to supply these items in the course of business unless it complies with the regulations.</w:t>
      </w:r>
    </w:p>
    <w:p w:rsidR="00622553" w:rsidRDefault="00622553" w:rsidP="00622553">
      <w:r>
        <w:t>The only exemptions to the rule is any furniture that was manufactured before</w:t>
      </w:r>
    </w:p>
    <w:p w:rsidR="00622553" w:rsidRDefault="00622553" w:rsidP="00622553">
      <w:r>
        <w:t>1950 and any furniture in a property which the landlord regards as his home which is let on a one off short term basis (for example a six month let whilst the landlord is away on business)</w:t>
      </w:r>
    </w:p>
    <w:p w:rsidR="00622553" w:rsidRDefault="00622553" w:rsidP="00622553">
      <w:r>
        <w:t>Usually any furniture manufactured after 1990 will comply but you will need to check every item to make sure it does have a label which proves its compliance.</w:t>
      </w:r>
    </w:p>
    <w:p w:rsidR="00622553" w:rsidRDefault="00622553" w:rsidP="00622553">
      <w:r>
        <w:t>If in doubt, take it out.</w:t>
      </w:r>
    </w:p>
    <w:p w:rsidR="00622553" w:rsidRDefault="00622553" w:rsidP="00622553">
      <w:r>
        <w:t>The gas safety (installation and use) regulations 1998</w:t>
      </w:r>
    </w:p>
    <w:p w:rsidR="00622553" w:rsidRDefault="00622553" w:rsidP="00622553">
      <w:r>
        <w:t>Any person letting their property must ensure that all gas appliances or installation pipework in that property is maintained in a safe condition to prevent the risk of injury. All such appliances and pipework MUST be checked annually by an approved CORGI registered contractor and a gas safety record obtained.</w:t>
      </w:r>
    </w:p>
    <w:p w:rsidR="00622553" w:rsidRDefault="00622553" w:rsidP="00622553">
      <w:r>
        <w:t xml:space="preserve">The landlord must keep the records for two years and Wiloth Property and Estate Management MUST </w:t>
      </w:r>
      <w:proofErr w:type="gramStart"/>
      <w:r>
        <w:t>be</w:t>
      </w:r>
      <w:proofErr w:type="gramEnd"/>
      <w:r>
        <w:t xml:space="preserve"> in possession of a copy before we can allow a tenancy to commence.</w:t>
      </w:r>
    </w:p>
    <w:p w:rsidR="00622553" w:rsidRDefault="00622553" w:rsidP="00622553">
      <w:r>
        <w:t>BEWARE! If found guilty of non-compliance. The landlord will receive a criminal record and face a fine imprisonment or even both. Should a tenant die as a result of non-compliances with the aforementioned Safety Regulations, the charge would be manslaughter.</w:t>
      </w:r>
    </w:p>
    <w:p w:rsidR="00622553" w:rsidRDefault="00622553" w:rsidP="00622553"/>
    <w:p w:rsidR="00622553" w:rsidRPr="00F6602F" w:rsidRDefault="00622553" w:rsidP="00622553">
      <w:pPr>
        <w:rPr>
          <w:b/>
          <w:sz w:val="32"/>
          <w:szCs w:val="32"/>
        </w:rPr>
      </w:pPr>
      <w:r w:rsidRPr="00F6602F">
        <w:rPr>
          <w:b/>
          <w:sz w:val="32"/>
          <w:szCs w:val="32"/>
        </w:rPr>
        <w:t>Electrical equipment (safety) regulations 1994</w:t>
      </w:r>
    </w:p>
    <w:p w:rsidR="00622553" w:rsidRDefault="00622553" w:rsidP="00622553">
      <w:r>
        <w:t>It is a criminal offence to supply unsafe electrical equipment in rented accommodation. The regulations apply to portable domestic equipment such as heaters, lamps, televisions, radios, vacuums, irons, toasters and the main kitchen appliances.</w:t>
      </w:r>
    </w:p>
    <w:p w:rsidR="00622553" w:rsidRDefault="00622553" w:rsidP="00622553">
      <w:r>
        <w:t>Whilst there is no mandatory requirement to undergo regular testing, a constant duty of care remains. If any appliance supplied by the landlord causes any injury to a tenant, the landlord could be sued for damages.</w:t>
      </w:r>
    </w:p>
    <w:p w:rsidR="00622553" w:rsidRDefault="00622553" w:rsidP="00622553"/>
    <w:p w:rsidR="00622553" w:rsidRPr="00F6602F" w:rsidRDefault="00622553" w:rsidP="00622553">
      <w:pPr>
        <w:rPr>
          <w:b/>
          <w:sz w:val="32"/>
          <w:szCs w:val="32"/>
        </w:rPr>
      </w:pPr>
      <w:r w:rsidRPr="00F6602F">
        <w:rPr>
          <w:b/>
          <w:sz w:val="32"/>
          <w:szCs w:val="32"/>
        </w:rPr>
        <w:t>Building regulations (smoke alarm) 1991</w:t>
      </w:r>
    </w:p>
    <w:p w:rsidR="00622553" w:rsidRDefault="00622553" w:rsidP="00622553">
      <w:r>
        <w:t>The above regulations make it mandatory to fit mains powered smoke alarms in new residential buildings – one on each floor. Whilst it is not a requirement in older properties it is recommended to install smoke alarms in all instances.</w:t>
      </w:r>
    </w:p>
    <w:p w:rsidR="00622553" w:rsidRDefault="00622553" w:rsidP="00622553"/>
    <w:p w:rsidR="00622553" w:rsidRPr="007279A2" w:rsidRDefault="00622553" w:rsidP="00622553">
      <w:pPr>
        <w:rPr>
          <w:b/>
          <w:color w:val="009EFF"/>
          <w:sz w:val="44"/>
          <w:szCs w:val="44"/>
        </w:rPr>
      </w:pPr>
      <w:r w:rsidRPr="007279A2">
        <w:rPr>
          <w:b/>
          <w:color w:val="009EFF"/>
          <w:sz w:val="44"/>
          <w:szCs w:val="44"/>
        </w:rPr>
        <w:lastRenderedPageBreak/>
        <w:t>Tax</w:t>
      </w:r>
    </w:p>
    <w:p w:rsidR="00622553" w:rsidRDefault="00622553" w:rsidP="00622553">
      <w:r>
        <w:t>Under the Taxation of income from Land (non-residents) Regulations 1995, the rent receiving agent (or where there is no agent, the tenant) will be required to deduct an amount equivalent to Basic Rate Tax from the rent (after taking deductible expenses paid by the agent into account) and pay the balance to the Inland Revenue each quarter.</w:t>
      </w:r>
    </w:p>
    <w:p w:rsidR="00622553" w:rsidRDefault="00622553" w:rsidP="00622553">
      <w:r>
        <w:t>However, the overseas landlord can apply to the Inland Revenue for exemption from this requirement. Provided the landlords tax history is good and tax affairs are up to date, the overseas landlord will be issued with a certificate that will be sent to his rent receiving agent. This will authorise the agent to pay the rent to you with no tax deducted.</w:t>
      </w:r>
    </w:p>
    <w:p w:rsidR="00622553" w:rsidRDefault="00622553" w:rsidP="00622553">
      <w:r>
        <w:t>We can provide you with an NRL1 form which you must complete and send to the Inland Revenue. Neither your rent receiving agent nor your tax advisor can file this application for you - it must be done by you.</w:t>
      </w:r>
    </w:p>
    <w:p w:rsidR="00622553" w:rsidRDefault="00622553" w:rsidP="00622553">
      <w:r>
        <w:t>Failure to return this form in time may result in the exemption certificate not being issued before the payments become due. We would have no alternative but to make the required tax deduction before paying the rents to you.</w:t>
      </w:r>
    </w:p>
    <w:p w:rsidR="00622553" w:rsidRDefault="00622553" w:rsidP="00622553">
      <w:r>
        <w:t>Wiloth Property and Estate Management are not tax advisers so if you are unsure as to how the above will affect you, you would be advised to speak to an accountant or professional tax adviser.</w:t>
      </w:r>
    </w:p>
    <w:p w:rsidR="00622553" w:rsidRDefault="00622553" w:rsidP="00622553"/>
    <w:p w:rsidR="00553193" w:rsidRPr="00553193" w:rsidRDefault="00553193" w:rsidP="00553193">
      <w:pPr>
        <w:rPr>
          <w:b/>
          <w:color w:val="009EFF"/>
          <w:sz w:val="44"/>
          <w:szCs w:val="44"/>
        </w:rPr>
      </w:pPr>
      <w:r w:rsidRPr="00553193">
        <w:rPr>
          <w:b/>
          <w:color w:val="009EFF"/>
          <w:sz w:val="44"/>
          <w:szCs w:val="44"/>
        </w:rPr>
        <w:t>Consent to Let</w:t>
      </w:r>
    </w:p>
    <w:p w:rsidR="00553193" w:rsidRDefault="00553193" w:rsidP="00553193">
      <w:r>
        <w:t>If the landlord has a mortgage, it is normal for mortgagees to require notification of any proposed letting and the landlord should seek their initial consent. In the case of leasehold premises the consent of the Head Lessee of Freeholder will be required.</w:t>
      </w:r>
    </w:p>
    <w:p w:rsidR="00553193" w:rsidRDefault="00553193" w:rsidP="00553193">
      <w:r>
        <w:t>The landlord should also advise his insurance company of the proposal to let the property as this could either invalidate the insurance altogether or increase the premiums. You should obtain written documentation of these consents prior to letting.</w:t>
      </w:r>
    </w:p>
    <w:p w:rsidR="00553193" w:rsidRDefault="00553193" w:rsidP="00553193"/>
    <w:p w:rsidR="00553193" w:rsidRPr="00F6602F" w:rsidRDefault="00553193" w:rsidP="00553193">
      <w:pPr>
        <w:rPr>
          <w:b/>
          <w:sz w:val="32"/>
          <w:szCs w:val="32"/>
        </w:rPr>
      </w:pPr>
      <w:r w:rsidRPr="00F6602F">
        <w:rPr>
          <w:b/>
          <w:sz w:val="32"/>
          <w:szCs w:val="32"/>
        </w:rPr>
        <w:t>Utilities</w:t>
      </w:r>
    </w:p>
    <w:p w:rsidR="00553193" w:rsidRDefault="00553193" w:rsidP="00553193">
      <w:r>
        <w:t>The tenant will be responsible for the payment of gas (if applicable), electricity, water, telephone (if applicable), council tax and television licence (if applicable).</w:t>
      </w:r>
    </w:p>
    <w:p w:rsidR="00553193" w:rsidRDefault="00553193" w:rsidP="00553193">
      <w:r>
        <w:t>As the landlord you are still responsible for the payment of service charges and ground rent in leasehold properties and buildings insurance on Freehold properties.</w:t>
      </w:r>
    </w:p>
    <w:p w:rsidR="00553193" w:rsidRDefault="00553193" w:rsidP="00622553"/>
    <w:p w:rsidR="00622553" w:rsidRPr="00F6602F" w:rsidRDefault="00622553" w:rsidP="00622553">
      <w:pPr>
        <w:rPr>
          <w:b/>
          <w:sz w:val="32"/>
          <w:szCs w:val="32"/>
        </w:rPr>
      </w:pPr>
      <w:r w:rsidRPr="00F6602F">
        <w:rPr>
          <w:b/>
          <w:sz w:val="32"/>
          <w:szCs w:val="32"/>
        </w:rPr>
        <w:lastRenderedPageBreak/>
        <w:t>Tenancy agreements</w:t>
      </w:r>
    </w:p>
    <w:p w:rsidR="00622553" w:rsidRDefault="00622553" w:rsidP="00622553">
      <w:r>
        <w:t xml:space="preserve">Most tenancies are classed as Assured </w:t>
      </w:r>
      <w:proofErr w:type="spellStart"/>
      <w:r>
        <w:t>Shorthold</w:t>
      </w:r>
      <w:proofErr w:type="spellEnd"/>
      <w:r>
        <w:t xml:space="preserve"> Tenancies. Under the Housing Act 1998 (as amended 1996) landlords have more rights to possession than with tenancies commencing prior to the acts and procedures for possession are now quicker and simpler (provided the process is carried out correctly).</w:t>
      </w:r>
    </w:p>
    <w:p w:rsidR="00622553" w:rsidRDefault="00622553" w:rsidP="00622553">
      <w:r>
        <w:t xml:space="preserve">There is no minimum period for an Assured </w:t>
      </w:r>
      <w:proofErr w:type="spellStart"/>
      <w:r>
        <w:t>Shorthold</w:t>
      </w:r>
      <w:proofErr w:type="spellEnd"/>
      <w:r>
        <w:t xml:space="preserve"> tenancy; however, we recommend that the agreement is for no less than six months. Most tenancies are drawn up for a period of twelve months, some have break clauses.</w:t>
      </w:r>
    </w:p>
    <w:p w:rsidR="00622553" w:rsidRDefault="00622553" w:rsidP="00622553">
      <w:r>
        <w:t>We will be happy to discuss the pros and cons of different time periods with you.</w:t>
      </w:r>
    </w:p>
    <w:p w:rsidR="00553193" w:rsidRDefault="00553193" w:rsidP="00622553"/>
    <w:p w:rsidR="00553193" w:rsidRPr="00F6602F" w:rsidRDefault="00553193" w:rsidP="00553193">
      <w:pPr>
        <w:rPr>
          <w:b/>
          <w:sz w:val="32"/>
          <w:szCs w:val="32"/>
        </w:rPr>
      </w:pPr>
      <w:r w:rsidRPr="00F6602F">
        <w:rPr>
          <w:b/>
          <w:sz w:val="32"/>
          <w:szCs w:val="32"/>
        </w:rPr>
        <w:t>Inventories</w:t>
      </w:r>
    </w:p>
    <w:p w:rsidR="00553193" w:rsidRDefault="00553193" w:rsidP="00553193">
      <w:r>
        <w:t>We strongly advise all our clients to have a detailed inventory prepared and checked for every tenancy.</w:t>
      </w:r>
    </w:p>
    <w:p w:rsidR="00553193" w:rsidRDefault="00553193" w:rsidP="00553193">
      <w:r>
        <w:t>The purpose of checking an inventory is to establish damages which can only be done if descriptions and conditioning remarks are sufficiently detailed. Under the terms of the tenancy agreement, the tenant is required to return the property and contents at the end of the tenancy in the same condition as they were at the commencement, fair wear and tear accepted.</w:t>
      </w:r>
    </w:p>
    <w:p w:rsidR="00553193" w:rsidRDefault="00553193" w:rsidP="00553193">
      <w:r>
        <w:t>Be aware that you will not be able to deduct money for damages from the tenants deposit at the end of the tenancy unless there is an inventory in place.</w:t>
      </w:r>
    </w:p>
    <w:p w:rsidR="00553193" w:rsidRDefault="00553193" w:rsidP="00553193">
      <w:r>
        <w:t>If instructed we will arrange a professional inventory and check in on your behalf, the cost of which is borne by the landlord. The tenants are responsible for paying for the check out.</w:t>
      </w:r>
    </w:p>
    <w:p w:rsidR="00553193" w:rsidRDefault="00553193" w:rsidP="00622553"/>
    <w:p w:rsidR="00622553" w:rsidRPr="00F6602F" w:rsidRDefault="00622553" w:rsidP="00622553">
      <w:pPr>
        <w:rPr>
          <w:b/>
          <w:sz w:val="32"/>
          <w:szCs w:val="32"/>
        </w:rPr>
      </w:pPr>
      <w:r w:rsidRPr="00F6602F">
        <w:rPr>
          <w:b/>
          <w:sz w:val="32"/>
          <w:szCs w:val="32"/>
        </w:rPr>
        <w:t>Legal matters</w:t>
      </w:r>
    </w:p>
    <w:p w:rsidR="00622553" w:rsidRDefault="00622553" w:rsidP="00622553">
      <w:r>
        <w:t>Our staffs has been trained on the various legal aspects of letting which include safety regulations, tenancy agreements, clauses and possession and have a vast practical experience. They will be happy to discuss any questions you may have regarding more detailed legal matters.</w:t>
      </w:r>
    </w:p>
    <w:p w:rsidR="00622553" w:rsidRDefault="00622553" w:rsidP="00622553"/>
    <w:p w:rsidR="00622553" w:rsidRPr="00F6602F" w:rsidRDefault="00F6602F" w:rsidP="00622553">
      <w:pPr>
        <w:rPr>
          <w:b/>
          <w:sz w:val="32"/>
          <w:szCs w:val="32"/>
        </w:rPr>
      </w:pPr>
      <w:r>
        <w:rPr>
          <w:b/>
          <w:sz w:val="32"/>
          <w:szCs w:val="32"/>
        </w:rPr>
        <w:t xml:space="preserve">Introduction, </w:t>
      </w:r>
      <w:r w:rsidR="00622553" w:rsidRPr="00F6602F">
        <w:rPr>
          <w:b/>
          <w:sz w:val="32"/>
          <w:szCs w:val="32"/>
        </w:rPr>
        <w:t xml:space="preserve">Let only or </w:t>
      </w:r>
      <w:r>
        <w:rPr>
          <w:b/>
          <w:sz w:val="32"/>
          <w:szCs w:val="32"/>
        </w:rPr>
        <w:t>Full M</w:t>
      </w:r>
      <w:r w:rsidR="00622553" w:rsidRPr="00F6602F">
        <w:rPr>
          <w:b/>
          <w:sz w:val="32"/>
          <w:szCs w:val="32"/>
        </w:rPr>
        <w:t>anagement</w:t>
      </w:r>
    </w:p>
    <w:p w:rsidR="00622553" w:rsidRDefault="00622553" w:rsidP="00622553">
      <w:r>
        <w:t>Now you know how to prepare your property for letting and you know what your legal responsibilities are, you need to know what you want us to do for you.</w:t>
      </w:r>
    </w:p>
    <w:p w:rsidR="00622553" w:rsidRDefault="00622553" w:rsidP="00622553">
      <w:r>
        <w:t>If you haven’t already got one, we can provide you a copy of our terms of business which explains in full the services we provide and the costs involved.</w:t>
      </w:r>
    </w:p>
    <w:p w:rsidR="00553193" w:rsidRDefault="007142B0" w:rsidP="00622553">
      <w:pPr>
        <w:rPr>
          <w:b/>
          <w:color w:val="009EFF"/>
          <w:sz w:val="44"/>
          <w:szCs w:val="44"/>
        </w:rPr>
      </w:pPr>
      <w:r w:rsidRPr="00553193">
        <w:rPr>
          <w:b/>
          <w:color w:val="009EFF"/>
          <w:sz w:val="44"/>
          <w:szCs w:val="44"/>
        </w:rPr>
        <w:lastRenderedPageBreak/>
        <w:t>Renting</w:t>
      </w:r>
      <w:r w:rsidRPr="00553193">
        <w:rPr>
          <w:b/>
          <w:color w:val="009EFF"/>
          <w:sz w:val="44"/>
          <w:szCs w:val="44"/>
        </w:rPr>
        <w:t xml:space="preserve"> </w:t>
      </w:r>
      <w:r>
        <w:rPr>
          <w:b/>
          <w:color w:val="009EFF"/>
          <w:sz w:val="44"/>
          <w:szCs w:val="44"/>
        </w:rPr>
        <w:t>(</w:t>
      </w:r>
      <w:r w:rsidR="00553193" w:rsidRPr="00553193">
        <w:rPr>
          <w:b/>
          <w:color w:val="009EFF"/>
          <w:sz w:val="44"/>
          <w:szCs w:val="44"/>
        </w:rPr>
        <w:t xml:space="preserve">Renting </w:t>
      </w:r>
      <w:r>
        <w:rPr>
          <w:b/>
          <w:color w:val="009EFF"/>
          <w:sz w:val="44"/>
          <w:szCs w:val="44"/>
        </w:rPr>
        <w:t>page)</w:t>
      </w:r>
    </w:p>
    <w:p w:rsidR="00553193" w:rsidRDefault="00553193" w:rsidP="00622553">
      <w:pPr>
        <w:rPr>
          <w:b/>
          <w:color w:val="009EFF"/>
          <w:sz w:val="44"/>
          <w:szCs w:val="44"/>
        </w:rPr>
      </w:pPr>
      <w:r>
        <w:rPr>
          <w:b/>
          <w:color w:val="009EFF"/>
          <w:sz w:val="44"/>
          <w:szCs w:val="44"/>
        </w:rPr>
        <w:t>Short let</w:t>
      </w:r>
      <w:r w:rsidR="007142B0">
        <w:rPr>
          <w:b/>
          <w:color w:val="009EFF"/>
          <w:sz w:val="44"/>
          <w:szCs w:val="44"/>
        </w:rPr>
        <w:t>s</w:t>
      </w:r>
    </w:p>
    <w:p w:rsidR="007142B0" w:rsidRDefault="007142B0" w:rsidP="007142B0">
      <w:r w:rsidRPr="007142B0">
        <w:t>We have a specialist “Short Let” department. For details of this services please request a Short Let terms and conditions from our letting office.</w:t>
      </w:r>
    </w:p>
    <w:p w:rsidR="007142B0" w:rsidRDefault="007142B0" w:rsidP="007142B0">
      <w:r>
        <w:t>D</w:t>
      </w:r>
      <w:r>
        <w:t xml:space="preserve">emand is high for </w:t>
      </w:r>
      <w:r>
        <w:t xml:space="preserve">short </w:t>
      </w:r>
      <w:r>
        <w:t>accommodation</w:t>
      </w:r>
      <w:r>
        <w:t xml:space="preserve"> due to m</w:t>
      </w:r>
      <w:r>
        <w:t>ore and more people are coming to London</w:t>
      </w:r>
      <w:r>
        <w:t xml:space="preserve"> for work and extended holidays</w:t>
      </w:r>
      <w:r>
        <w:t xml:space="preserve">. </w:t>
      </w:r>
      <w:r>
        <w:t>A</w:t>
      </w:r>
      <w:r>
        <w:t>n increasing number now prefer a home-from-home</w:t>
      </w:r>
      <w:r w:rsidRPr="007142B0">
        <w:t xml:space="preserve"> </w:t>
      </w:r>
      <w:r>
        <w:t>w</w:t>
      </w:r>
      <w:r>
        <w:t>here once visitors to our fine city would have automatical</w:t>
      </w:r>
      <w:r>
        <w:t>ly gone for hotel accommodation. We are</w:t>
      </w:r>
      <w:r>
        <w:t xml:space="preserve"> responding to this demand by offering a short-let service</w:t>
      </w:r>
      <w:r>
        <w:t xml:space="preserve"> that might suite your property</w:t>
      </w:r>
      <w:r>
        <w:t xml:space="preserve"> in selected parts of the capital.</w:t>
      </w:r>
    </w:p>
    <w:p w:rsidR="007142B0" w:rsidRDefault="007142B0" w:rsidP="007142B0">
      <w:r>
        <w:t>Quite simply, a short-let can be anything from one week to six months in length. Short-let properties are fully furnished to a really high standard and are fully equipped for modern-day living. The rent will include all utility bills and a cleaning service, but not telephone and internet charges</w:t>
      </w:r>
      <w:r>
        <w:t>.</w:t>
      </w:r>
    </w:p>
    <w:p w:rsidR="007142B0" w:rsidRDefault="007142B0" w:rsidP="007142B0"/>
    <w:p w:rsidR="002B10CD" w:rsidRDefault="007142B0" w:rsidP="002B10CD">
      <w:pPr>
        <w:rPr>
          <w:b/>
          <w:color w:val="009EFF"/>
          <w:sz w:val="44"/>
          <w:szCs w:val="44"/>
        </w:rPr>
      </w:pPr>
      <w:r w:rsidRPr="007142B0">
        <w:rPr>
          <w:b/>
          <w:color w:val="009EFF"/>
          <w:sz w:val="44"/>
          <w:szCs w:val="44"/>
        </w:rPr>
        <w:t>Contact Us</w:t>
      </w:r>
      <w:r w:rsidR="002B10CD">
        <w:rPr>
          <w:b/>
          <w:color w:val="009EFF"/>
          <w:sz w:val="44"/>
          <w:szCs w:val="44"/>
        </w:rPr>
        <w:t xml:space="preserve"> </w:t>
      </w:r>
      <w:r w:rsidR="002B10CD">
        <w:rPr>
          <w:b/>
          <w:color w:val="009EFF"/>
          <w:sz w:val="44"/>
          <w:szCs w:val="44"/>
        </w:rPr>
        <w:t>(</w:t>
      </w:r>
      <w:r w:rsidR="002B10CD" w:rsidRPr="007142B0">
        <w:rPr>
          <w:b/>
          <w:color w:val="009EFF"/>
          <w:sz w:val="44"/>
          <w:szCs w:val="44"/>
        </w:rPr>
        <w:t>Contact Us</w:t>
      </w:r>
      <w:r w:rsidR="002B10CD" w:rsidRPr="00553193">
        <w:rPr>
          <w:b/>
          <w:color w:val="009EFF"/>
          <w:sz w:val="44"/>
          <w:szCs w:val="44"/>
        </w:rPr>
        <w:t xml:space="preserve"> </w:t>
      </w:r>
      <w:r w:rsidR="002B10CD">
        <w:rPr>
          <w:b/>
          <w:color w:val="009EFF"/>
          <w:sz w:val="44"/>
          <w:szCs w:val="44"/>
        </w:rPr>
        <w:t>page)</w:t>
      </w:r>
    </w:p>
    <w:p w:rsidR="007142B0" w:rsidRPr="007142B0" w:rsidRDefault="007142B0" w:rsidP="007142B0">
      <w:pPr>
        <w:rPr>
          <w:b/>
          <w:color w:val="009EFF"/>
          <w:sz w:val="44"/>
          <w:szCs w:val="44"/>
        </w:rPr>
      </w:pPr>
    </w:p>
    <w:sectPr w:rsidR="007142B0" w:rsidRPr="00714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53"/>
    <w:rsid w:val="001E377F"/>
    <w:rsid w:val="002B10CD"/>
    <w:rsid w:val="00344FCB"/>
    <w:rsid w:val="003F43C6"/>
    <w:rsid w:val="00553193"/>
    <w:rsid w:val="0061543F"/>
    <w:rsid w:val="00622553"/>
    <w:rsid w:val="0062270B"/>
    <w:rsid w:val="007142B0"/>
    <w:rsid w:val="007279A2"/>
    <w:rsid w:val="00762A20"/>
    <w:rsid w:val="00CD7000"/>
    <w:rsid w:val="00F6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000"/>
    <w:rPr>
      <w:color w:val="0000FF" w:themeColor="hyperlink"/>
      <w:u w:val="single"/>
    </w:rPr>
  </w:style>
  <w:style w:type="paragraph" w:styleId="BalloonText">
    <w:name w:val="Balloon Text"/>
    <w:basedOn w:val="Normal"/>
    <w:link w:val="BalloonTextChar"/>
    <w:uiPriority w:val="99"/>
    <w:semiHidden/>
    <w:unhideWhenUsed/>
    <w:rsid w:val="00CD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000"/>
    <w:rPr>
      <w:color w:val="0000FF" w:themeColor="hyperlink"/>
      <w:u w:val="single"/>
    </w:rPr>
  </w:style>
  <w:style w:type="paragraph" w:styleId="BalloonText">
    <w:name w:val="Balloon Text"/>
    <w:basedOn w:val="Normal"/>
    <w:link w:val="BalloonTextChar"/>
    <w:uiPriority w:val="99"/>
    <w:semiHidden/>
    <w:unhideWhenUsed/>
    <w:rsid w:val="00CD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C6321.37F649E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C6321.37F649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ropertywide.co.uk/landlords/buy-to-let-mortgages/" TargetMode="External"/><Relationship Id="rId4" Type="http://schemas.openxmlformats.org/officeDocument/2006/relationships/webSettings" Target="webSettings.xml"/><Relationship Id="rId9" Type="http://schemas.openxmlformats.org/officeDocument/2006/relationships/hyperlink" Target="http://www.propertywide.co.uk/landlords/ep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5</cp:revision>
  <cp:lastPrinted>2013-08-02T18:00:00Z</cp:lastPrinted>
  <dcterms:created xsi:type="dcterms:W3CDTF">2013-08-02T17:24:00Z</dcterms:created>
  <dcterms:modified xsi:type="dcterms:W3CDTF">2013-08-03T14:55:00Z</dcterms:modified>
</cp:coreProperties>
</file>